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479" w:rsidRPr="00D64145" w:rsidRDefault="007A5479" w:rsidP="007A5479">
      <w:pPr>
        <w:pStyle w:val="Title"/>
        <w:rPr>
          <w:rFonts w:ascii="Comic Sans MS" w:hAnsi="Comic Sans MS"/>
          <w:b/>
          <w:sz w:val="24"/>
        </w:rPr>
      </w:pPr>
      <w:bookmarkStart w:id="0" w:name="_GoBack"/>
      <w:bookmarkEnd w:id="0"/>
      <w:r>
        <w:rPr>
          <w:noProof/>
          <w:color w:val="000000"/>
        </w:rPr>
        <w:drawing>
          <wp:inline distT="0" distB="0" distL="0" distR="0">
            <wp:extent cx="1990725" cy="1575547"/>
            <wp:effectExtent l="19050" t="0" r="9525" b="0"/>
            <wp:docPr id="15" name="Picture 1" descr="https://lh5.googleusercontent.com/Aus4mOCHUPFWJ5fZOxrGt0g10IIVamU0hLu48FxbsQPaPXfkCONLGMRTLTDaXBHKTFH2c8B9RJhNEmsaKz-y8cVTh05CwoSovUcFZWCvnBe_IAtiNf0vOiJVnn-50y6EuxzBhNMkE_ELHZF-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Aus4mOCHUPFWJ5fZOxrGt0g10IIVamU0hLu48FxbsQPaPXfkCONLGMRTLTDaXBHKTFH2c8B9RJhNEmsaKz-y8cVTh05CwoSovUcFZWCvnBe_IAtiNf0vOiJVnn-50y6EuxzBhNMkE_ELHZF-zA"/>
                    <pic:cNvPicPr>
                      <a:picLocks noChangeAspect="1" noChangeArrowheads="1"/>
                    </pic:cNvPicPr>
                  </pic:nvPicPr>
                  <pic:blipFill>
                    <a:blip r:embed="rId7" cstate="print"/>
                    <a:srcRect/>
                    <a:stretch>
                      <a:fillRect/>
                    </a:stretch>
                  </pic:blipFill>
                  <pic:spPr bwMode="auto">
                    <a:xfrm>
                      <a:off x="0" y="0"/>
                      <a:ext cx="1990725" cy="1575547"/>
                    </a:xfrm>
                    <a:prstGeom prst="rect">
                      <a:avLst/>
                    </a:prstGeom>
                    <a:noFill/>
                    <a:ln w="9525">
                      <a:noFill/>
                      <a:miter lim="800000"/>
                      <a:headEnd/>
                      <a:tailEnd/>
                    </a:ln>
                  </pic:spPr>
                </pic:pic>
              </a:graphicData>
            </a:graphic>
          </wp:inline>
        </w:drawing>
      </w:r>
    </w:p>
    <w:p w:rsidR="00A20BD6" w:rsidRDefault="00A20BD6" w:rsidP="007A5479">
      <w:pPr>
        <w:jc w:val="center"/>
      </w:pPr>
    </w:p>
    <w:p w:rsidR="007A5479" w:rsidRPr="00D64145" w:rsidRDefault="007A5479" w:rsidP="007A5479">
      <w:pPr>
        <w:jc w:val="center"/>
      </w:pPr>
      <w:r w:rsidRPr="00D64145">
        <w:rPr>
          <w:noProof/>
        </w:rPr>
        <w:drawing>
          <wp:anchor distT="36576" distB="36576" distL="36576" distR="36576" simplePos="0" relativeHeight="251659264" behindDoc="0" locked="0" layoutInCell="1" allowOverlap="1">
            <wp:simplePos x="0" y="0"/>
            <wp:positionH relativeFrom="column">
              <wp:posOffset>27956510</wp:posOffset>
            </wp:positionH>
            <wp:positionV relativeFrom="paragraph">
              <wp:posOffset>23159720</wp:posOffset>
            </wp:positionV>
            <wp:extent cx="1560830" cy="1809115"/>
            <wp:effectExtent l="19050" t="0" r="1270" b="0"/>
            <wp:wrapNone/>
            <wp:docPr id="16"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srcRect/>
                    <a:stretch>
                      <a:fillRect/>
                    </a:stretch>
                  </pic:blipFill>
                  <pic:spPr bwMode="auto">
                    <a:xfrm>
                      <a:off x="0" y="0"/>
                      <a:ext cx="1560830" cy="1809115"/>
                    </a:xfrm>
                    <a:prstGeom prst="rect">
                      <a:avLst/>
                    </a:prstGeom>
                    <a:noFill/>
                    <a:ln w="9525" algn="in">
                      <a:noFill/>
                      <a:miter lim="800000"/>
                      <a:headEnd/>
                      <a:tailEnd/>
                    </a:ln>
                    <a:effectLst/>
                  </pic:spPr>
                </pic:pic>
              </a:graphicData>
            </a:graphic>
          </wp:anchor>
        </w:drawing>
      </w:r>
      <w:r w:rsidRPr="00D64145">
        <w:rPr>
          <w:noProof/>
        </w:rPr>
        <w:drawing>
          <wp:anchor distT="36576" distB="36576" distL="36576" distR="36576" simplePos="0" relativeHeight="251660288" behindDoc="0" locked="0" layoutInCell="1" allowOverlap="1">
            <wp:simplePos x="0" y="0"/>
            <wp:positionH relativeFrom="column">
              <wp:posOffset>27956510</wp:posOffset>
            </wp:positionH>
            <wp:positionV relativeFrom="paragraph">
              <wp:posOffset>23159720</wp:posOffset>
            </wp:positionV>
            <wp:extent cx="1560830" cy="1809115"/>
            <wp:effectExtent l="19050" t="0" r="1270" b="0"/>
            <wp:wrapNone/>
            <wp:docPr id="17"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8" cstate="print"/>
                    <a:srcRect/>
                    <a:stretch>
                      <a:fillRect/>
                    </a:stretch>
                  </pic:blipFill>
                  <pic:spPr bwMode="auto">
                    <a:xfrm>
                      <a:off x="0" y="0"/>
                      <a:ext cx="1560830" cy="1809115"/>
                    </a:xfrm>
                    <a:prstGeom prst="rect">
                      <a:avLst/>
                    </a:prstGeom>
                    <a:noFill/>
                    <a:ln w="9525" algn="in">
                      <a:noFill/>
                      <a:miter lim="800000"/>
                      <a:headEnd/>
                      <a:tailEnd/>
                    </a:ln>
                    <a:effectLst/>
                  </pic:spPr>
                </pic:pic>
              </a:graphicData>
            </a:graphic>
          </wp:anchor>
        </w:drawing>
      </w:r>
      <w:r w:rsidRPr="00D64145">
        <w:t>P.O. BOX 1897</w:t>
      </w:r>
    </w:p>
    <w:p w:rsidR="007A5479" w:rsidRPr="00D64145" w:rsidRDefault="007A5479" w:rsidP="007A5479">
      <w:pPr>
        <w:jc w:val="center"/>
        <w:outlineLvl w:val="0"/>
      </w:pPr>
      <w:r w:rsidRPr="00D64145">
        <w:t>THOMASVILLE, GEORGIA 31799-1897</w:t>
      </w:r>
    </w:p>
    <w:p w:rsidR="007A5479" w:rsidRPr="00D64145" w:rsidRDefault="007A5479" w:rsidP="007A5479">
      <w:pPr>
        <w:jc w:val="center"/>
        <w:outlineLvl w:val="0"/>
      </w:pPr>
      <w:r w:rsidRPr="00D64145">
        <w:t>Phone</w:t>
      </w:r>
      <w:proofErr w:type="gramStart"/>
      <w:r w:rsidRPr="00D64145">
        <w:t>:  (</w:t>
      </w:r>
      <w:proofErr w:type="gramEnd"/>
      <w:r w:rsidRPr="00D64145">
        <w:t>229) 226-5846   Fax:  (229) 226-4595</w:t>
      </w:r>
    </w:p>
    <w:p w:rsidR="007A5479" w:rsidRDefault="007A5479" w:rsidP="007A5479">
      <w:pPr>
        <w:jc w:val="center"/>
      </w:pPr>
      <w:r w:rsidRPr="00D64145">
        <w:t xml:space="preserve">Email: </w:t>
      </w:r>
      <w:hyperlink r:id="rId9" w:history="1">
        <w:r w:rsidR="00BD2BA2">
          <w:rPr>
            <w:rStyle w:val="Hyperlink"/>
          </w:rPr>
          <w:t>tcrc.receptionist</w:t>
        </w:r>
        <w:r w:rsidR="00820136" w:rsidRPr="00BF423B">
          <w:rPr>
            <w:rStyle w:val="Hyperlink"/>
          </w:rPr>
          <w:t>@tcrc.community</w:t>
        </w:r>
      </w:hyperlink>
    </w:p>
    <w:p w:rsidR="007A5479" w:rsidRDefault="007A5479" w:rsidP="007A5479">
      <w:pPr>
        <w:jc w:val="center"/>
        <w:rPr>
          <w:b/>
          <w:bCs/>
          <w:sz w:val="48"/>
          <w:szCs w:val="48"/>
        </w:rPr>
      </w:pPr>
    </w:p>
    <w:p w:rsidR="007A5479" w:rsidRDefault="007A5479" w:rsidP="007A5479">
      <w:pPr>
        <w:jc w:val="center"/>
        <w:rPr>
          <w:b/>
          <w:bCs/>
          <w:sz w:val="48"/>
          <w:szCs w:val="48"/>
        </w:rPr>
      </w:pPr>
      <w:r>
        <w:rPr>
          <w:b/>
          <w:bCs/>
          <w:sz w:val="48"/>
          <w:szCs w:val="48"/>
        </w:rPr>
        <w:t>Thomasville Community Resource Center</w:t>
      </w:r>
    </w:p>
    <w:p w:rsidR="007A5479" w:rsidRDefault="007A5479" w:rsidP="007A5479">
      <w:pPr>
        <w:jc w:val="center"/>
        <w:rPr>
          <w:b/>
          <w:bCs/>
          <w:sz w:val="40"/>
          <w:szCs w:val="40"/>
        </w:rPr>
      </w:pPr>
    </w:p>
    <w:p w:rsidR="007A5479" w:rsidRDefault="007A5479" w:rsidP="00E8477E">
      <w:pPr>
        <w:jc w:val="center"/>
        <w:rPr>
          <w:b/>
          <w:bCs/>
          <w:sz w:val="40"/>
          <w:szCs w:val="40"/>
        </w:rPr>
      </w:pPr>
      <w:r w:rsidRPr="007A5479">
        <w:rPr>
          <w:b/>
          <w:bCs/>
          <w:sz w:val="40"/>
          <w:szCs w:val="40"/>
        </w:rPr>
        <w:t>2</w:t>
      </w:r>
      <w:r w:rsidR="00E8477E" w:rsidRPr="007A5479">
        <w:rPr>
          <w:b/>
          <w:bCs/>
          <w:sz w:val="40"/>
          <w:szCs w:val="40"/>
        </w:rPr>
        <w:t>1st Century Community Learning Centers</w:t>
      </w:r>
    </w:p>
    <w:p w:rsidR="00E8477E" w:rsidRDefault="007A5479" w:rsidP="00E8477E">
      <w:pPr>
        <w:jc w:val="center"/>
      </w:pPr>
      <w:r>
        <w:rPr>
          <w:b/>
          <w:bCs/>
          <w:sz w:val="40"/>
          <w:szCs w:val="40"/>
        </w:rPr>
        <w:t xml:space="preserve"> </w:t>
      </w:r>
      <w:r w:rsidR="00CF2E1C">
        <w:rPr>
          <w:noProof/>
        </w:rPr>
        <w:drawing>
          <wp:inline distT="0" distB="0" distL="0" distR="0">
            <wp:extent cx="1040195" cy="1038225"/>
            <wp:effectExtent l="19050" t="0" r="75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036978" cy="1035014"/>
                    </a:xfrm>
                    <a:prstGeom prst="rect">
                      <a:avLst/>
                    </a:prstGeom>
                    <a:noFill/>
                    <a:ln w="9525">
                      <a:noFill/>
                      <a:miter lim="800000"/>
                      <a:headEnd/>
                      <a:tailEnd/>
                    </a:ln>
                  </pic:spPr>
                </pic:pic>
              </a:graphicData>
            </a:graphic>
          </wp:inline>
        </w:drawing>
      </w:r>
    </w:p>
    <w:p w:rsidR="00E8477E" w:rsidRDefault="00E8477E" w:rsidP="00E8477E">
      <w:pPr>
        <w:jc w:val="center"/>
      </w:pPr>
    </w:p>
    <w:p w:rsidR="007A5479" w:rsidRDefault="00E8477E" w:rsidP="008F3A55">
      <w:pPr>
        <w:pStyle w:val="Default"/>
      </w:pPr>
      <w:r>
        <w:br w:type="page"/>
      </w:r>
    </w:p>
    <w:p w:rsidR="007A5479" w:rsidRDefault="007A5479" w:rsidP="00A20BD6">
      <w:pPr>
        <w:pStyle w:val="Default"/>
        <w:jc w:val="both"/>
        <w:rPr>
          <w:rFonts w:ascii="Times New Roman" w:hAnsi="Times New Roman" w:cs="Times New Roman"/>
        </w:rPr>
      </w:pPr>
      <w:r w:rsidRPr="00A20BD6">
        <w:rPr>
          <w:rFonts w:ascii="Times New Roman" w:hAnsi="Times New Roman" w:cs="Times New Roman"/>
        </w:rPr>
        <w:lastRenderedPageBreak/>
        <w:t xml:space="preserve">TCRC has had the great pleasure to operate as a </w:t>
      </w:r>
      <w:r w:rsidRPr="00A20BD6">
        <w:rPr>
          <w:rFonts w:ascii="Times New Roman" w:hAnsi="Times New Roman" w:cs="Times New Roman"/>
          <w:b/>
        </w:rPr>
        <w:t>21st Century Community Learning Center (21</w:t>
      </w:r>
      <w:r w:rsidRPr="00A20BD6">
        <w:rPr>
          <w:rFonts w:ascii="Times New Roman" w:hAnsi="Times New Roman" w:cs="Times New Roman"/>
          <w:b/>
          <w:vertAlign w:val="superscript"/>
        </w:rPr>
        <w:t>st</w:t>
      </w:r>
      <w:r w:rsidRPr="00A20BD6">
        <w:rPr>
          <w:rFonts w:ascii="Times New Roman" w:hAnsi="Times New Roman" w:cs="Times New Roman"/>
          <w:b/>
        </w:rPr>
        <w:t xml:space="preserve"> CCLC)</w:t>
      </w:r>
      <w:r w:rsidRPr="00A20BD6">
        <w:rPr>
          <w:rFonts w:ascii="Times New Roman" w:hAnsi="Times New Roman" w:cs="Times New Roman"/>
        </w:rPr>
        <w:t xml:space="preserve"> provider since 2008. External contractors evaluate all 21</w:t>
      </w:r>
      <w:r w:rsidRPr="00A20BD6">
        <w:rPr>
          <w:rFonts w:ascii="Times New Roman" w:hAnsi="Times New Roman" w:cs="Times New Roman"/>
          <w:vertAlign w:val="superscript"/>
        </w:rPr>
        <w:t>st</w:t>
      </w:r>
      <w:r w:rsidRPr="00A20BD6">
        <w:rPr>
          <w:rFonts w:ascii="Times New Roman" w:hAnsi="Times New Roman" w:cs="Times New Roman"/>
        </w:rPr>
        <w:t xml:space="preserve"> CCLC program sites. Qualitative and quantitative data is collected to measure program impact at </w:t>
      </w:r>
      <w:r w:rsidR="00BD2BA2">
        <w:rPr>
          <w:rFonts w:ascii="Times New Roman" w:hAnsi="Times New Roman" w:cs="Times New Roman"/>
        </w:rPr>
        <w:t>all sites</w:t>
      </w:r>
      <w:r w:rsidRPr="00A20BD6">
        <w:rPr>
          <w:rFonts w:ascii="Times New Roman" w:hAnsi="Times New Roman" w:cs="Times New Roman"/>
        </w:rPr>
        <w:t>. The primary focus of the outcome evaluation is the examination of the extent to which the 21st CCLC achieved the project objectives. This opportunity has allowed the organization to expand its after school program with the over-arching goal of improving academic achievement, behavior, and increasing parental involvement. The sites are grant funded with TCRC as a “sub-recipient” to the Georgia Departmen</w:t>
      </w:r>
      <w:r w:rsidR="00BD2BA2">
        <w:rPr>
          <w:rFonts w:ascii="Times New Roman" w:hAnsi="Times New Roman" w:cs="Times New Roman"/>
        </w:rPr>
        <w:t>t of Education. This year over 2</w:t>
      </w:r>
      <w:r w:rsidRPr="00A20BD6">
        <w:rPr>
          <w:rFonts w:ascii="Times New Roman" w:hAnsi="Times New Roman" w:cs="Times New Roman"/>
        </w:rPr>
        <w:t xml:space="preserve">00 children from </w:t>
      </w:r>
      <w:r w:rsidR="00220E6C">
        <w:rPr>
          <w:rFonts w:ascii="Times New Roman" w:hAnsi="Times New Roman" w:cs="Times New Roman"/>
        </w:rPr>
        <w:t xml:space="preserve">Pre </w:t>
      </w:r>
      <w:r w:rsidRPr="00A20BD6">
        <w:rPr>
          <w:rFonts w:ascii="Times New Roman" w:hAnsi="Times New Roman" w:cs="Times New Roman"/>
        </w:rPr>
        <w:t xml:space="preserve">K – </w:t>
      </w:r>
      <w:r w:rsidR="00BD2BA2">
        <w:rPr>
          <w:rFonts w:ascii="Times New Roman" w:hAnsi="Times New Roman" w:cs="Times New Roman"/>
        </w:rPr>
        <w:t>5th</w:t>
      </w:r>
      <w:r w:rsidRPr="00A20BD6">
        <w:rPr>
          <w:rFonts w:ascii="Times New Roman" w:hAnsi="Times New Roman" w:cs="Times New Roman"/>
        </w:rPr>
        <w:t xml:space="preserve"> grade </w:t>
      </w:r>
      <w:proofErr w:type="gramStart"/>
      <w:r w:rsidRPr="00A20BD6">
        <w:rPr>
          <w:rFonts w:ascii="Times New Roman" w:hAnsi="Times New Roman" w:cs="Times New Roman"/>
        </w:rPr>
        <w:t>are</w:t>
      </w:r>
      <w:proofErr w:type="gramEnd"/>
      <w:r w:rsidRPr="00A20BD6">
        <w:rPr>
          <w:rFonts w:ascii="Times New Roman" w:hAnsi="Times New Roman" w:cs="Times New Roman"/>
        </w:rPr>
        <w:t xml:space="preserve"> served at the </w:t>
      </w:r>
      <w:r w:rsidR="00BD2BA2">
        <w:rPr>
          <w:rFonts w:ascii="Times New Roman" w:hAnsi="Times New Roman" w:cs="Times New Roman"/>
        </w:rPr>
        <w:t>3</w:t>
      </w:r>
      <w:r w:rsidRPr="00A20BD6">
        <w:rPr>
          <w:rFonts w:ascii="Times New Roman" w:hAnsi="Times New Roman" w:cs="Times New Roman"/>
        </w:rPr>
        <w:t xml:space="preserve"> school-based 21</w:t>
      </w:r>
      <w:r w:rsidRPr="00A20BD6">
        <w:rPr>
          <w:rFonts w:ascii="Times New Roman" w:hAnsi="Times New Roman" w:cs="Times New Roman"/>
          <w:vertAlign w:val="superscript"/>
        </w:rPr>
        <w:t>st</w:t>
      </w:r>
      <w:r w:rsidRPr="00A20BD6">
        <w:rPr>
          <w:rFonts w:ascii="Times New Roman" w:hAnsi="Times New Roman" w:cs="Times New Roman"/>
        </w:rPr>
        <w:t xml:space="preserve"> CCLC locations. Certified teachers and para-professionals provide academics and homework help. Project based learning activities are provided based on Science, Technology, Engineering, Arts, and Math (STEAM).</w:t>
      </w:r>
      <w:r w:rsidR="00A144EE">
        <w:rPr>
          <w:rFonts w:ascii="Times New Roman" w:hAnsi="Times New Roman" w:cs="Times New Roman"/>
        </w:rPr>
        <w:t xml:space="preserve"> The TCRC 21</w:t>
      </w:r>
      <w:r w:rsidR="00A144EE" w:rsidRPr="00A144EE">
        <w:rPr>
          <w:rFonts w:ascii="Times New Roman" w:hAnsi="Times New Roman" w:cs="Times New Roman"/>
          <w:vertAlign w:val="superscript"/>
        </w:rPr>
        <w:t>st</w:t>
      </w:r>
      <w:r w:rsidR="00A144EE">
        <w:rPr>
          <w:rFonts w:ascii="Times New Roman" w:hAnsi="Times New Roman" w:cs="Times New Roman"/>
        </w:rPr>
        <w:t xml:space="preserve"> CCLC sites include:</w:t>
      </w:r>
    </w:p>
    <w:p w:rsidR="00A144EE" w:rsidRPr="00A144EE" w:rsidRDefault="00A144EE" w:rsidP="00A144EE">
      <w:pPr>
        <w:pStyle w:val="Default"/>
        <w:numPr>
          <w:ilvl w:val="0"/>
          <w:numId w:val="6"/>
        </w:numPr>
        <w:jc w:val="both"/>
        <w:rPr>
          <w:rFonts w:ascii="Times New Roman" w:hAnsi="Times New Roman" w:cs="Times New Roman"/>
          <w:b/>
          <w:bCs/>
        </w:rPr>
      </w:pPr>
      <w:r>
        <w:rPr>
          <w:rFonts w:ascii="Times New Roman" w:hAnsi="Times New Roman" w:cs="Times New Roman"/>
        </w:rPr>
        <w:t xml:space="preserve">Harper Elementary </w:t>
      </w:r>
      <w:r w:rsidR="00F26DFD">
        <w:rPr>
          <w:rFonts w:ascii="Times New Roman" w:hAnsi="Times New Roman" w:cs="Times New Roman"/>
        </w:rPr>
        <w:t xml:space="preserve">Thomasville </w:t>
      </w:r>
    </w:p>
    <w:p w:rsidR="00A144EE" w:rsidRPr="00A144EE" w:rsidRDefault="00A144EE" w:rsidP="00A144EE">
      <w:pPr>
        <w:pStyle w:val="Default"/>
        <w:numPr>
          <w:ilvl w:val="0"/>
          <w:numId w:val="6"/>
        </w:numPr>
        <w:jc w:val="both"/>
        <w:rPr>
          <w:rFonts w:ascii="Times New Roman" w:hAnsi="Times New Roman" w:cs="Times New Roman"/>
          <w:b/>
          <w:bCs/>
        </w:rPr>
      </w:pPr>
      <w:r>
        <w:rPr>
          <w:rFonts w:ascii="Times New Roman" w:hAnsi="Times New Roman" w:cs="Times New Roman"/>
        </w:rPr>
        <w:t xml:space="preserve">Scott Elementary </w:t>
      </w:r>
      <w:r w:rsidR="00F26DFD">
        <w:rPr>
          <w:rFonts w:ascii="Times New Roman" w:hAnsi="Times New Roman" w:cs="Times New Roman"/>
        </w:rPr>
        <w:t xml:space="preserve">Thomasville </w:t>
      </w:r>
    </w:p>
    <w:p w:rsidR="00A144EE" w:rsidRPr="00F26DFD" w:rsidRDefault="00A144EE" w:rsidP="00A144EE">
      <w:pPr>
        <w:pStyle w:val="Default"/>
        <w:numPr>
          <w:ilvl w:val="0"/>
          <w:numId w:val="6"/>
        </w:numPr>
        <w:jc w:val="both"/>
        <w:rPr>
          <w:rFonts w:ascii="Times New Roman" w:hAnsi="Times New Roman" w:cs="Times New Roman"/>
          <w:b/>
          <w:bCs/>
        </w:rPr>
      </w:pPr>
      <w:r w:rsidRPr="00F26DFD">
        <w:rPr>
          <w:rFonts w:ascii="Times New Roman" w:hAnsi="Times New Roman" w:cs="Times New Roman"/>
          <w:bCs/>
        </w:rPr>
        <w:t xml:space="preserve">Pelham Elementary </w:t>
      </w:r>
      <w:r w:rsidR="00F26DFD">
        <w:rPr>
          <w:rFonts w:ascii="Times New Roman" w:hAnsi="Times New Roman" w:cs="Times New Roman"/>
          <w:bCs/>
        </w:rPr>
        <w:t xml:space="preserve">Mitchell County </w:t>
      </w:r>
    </w:p>
    <w:p w:rsidR="00A604EA" w:rsidRPr="00A20BD6" w:rsidRDefault="00A604EA" w:rsidP="00A20BD6">
      <w:pPr>
        <w:pStyle w:val="Default"/>
        <w:jc w:val="both"/>
        <w:rPr>
          <w:rFonts w:ascii="Times New Roman" w:hAnsi="Times New Roman" w:cs="Times New Roman"/>
          <w:b/>
          <w:bCs/>
        </w:rPr>
      </w:pPr>
    </w:p>
    <w:p w:rsidR="008F3A55" w:rsidRPr="00A20BD6" w:rsidRDefault="00152825" w:rsidP="00A20BD6">
      <w:pPr>
        <w:pStyle w:val="Default"/>
        <w:jc w:val="both"/>
        <w:rPr>
          <w:rFonts w:ascii="Times New Roman" w:hAnsi="Times New Roman" w:cs="Times New Roman"/>
        </w:rPr>
      </w:pPr>
      <w:r w:rsidRPr="00A20BD6">
        <w:rPr>
          <w:rFonts w:ascii="Times New Roman" w:hAnsi="Times New Roman" w:cs="Times New Roman"/>
          <w:b/>
          <w:bCs/>
        </w:rPr>
        <w:t>YOUTH DEVELOPMENT / ENRICHMENT &amp; FAMILY ENGAGEMENT SUB-CONTRACTS</w:t>
      </w:r>
      <w:r w:rsidR="008F3A55" w:rsidRPr="00A20BD6">
        <w:rPr>
          <w:rFonts w:ascii="Times New Roman" w:hAnsi="Times New Roman" w:cs="Times New Roman"/>
          <w:b/>
          <w:bCs/>
        </w:rPr>
        <w:t xml:space="preserve"> </w:t>
      </w:r>
    </w:p>
    <w:p w:rsidR="008F3A55" w:rsidRPr="00A20BD6" w:rsidRDefault="008F3A55" w:rsidP="00A20BD6">
      <w:pPr>
        <w:jc w:val="both"/>
      </w:pPr>
      <w:r w:rsidRPr="00A20BD6">
        <w:t>Completion and</w:t>
      </w:r>
      <w:r w:rsidR="006679D8" w:rsidRPr="00A20BD6">
        <w:t xml:space="preserve"> submission of a </w:t>
      </w:r>
      <w:r w:rsidR="003756EB" w:rsidRPr="00A20BD6">
        <w:t xml:space="preserve">TCRC </w:t>
      </w:r>
      <w:r w:rsidR="006679D8" w:rsidRPr="00A20BD6">
        <w:t xml:space="preserve">21st CCLC </w:t>
      </w:r>
      <w:r w:rsidR="003756EB" w:rsidRPr="00A20BD6">
        <w:t xml:space="preserve">enrichment </w:t>
      </w:r>
      <w:r w:rsidR="006679D8" w:rsidRPr="00A20BD6">
        <w:t>contract</w:t>
      </w:r>
      <w:r w:rsidRPr="00A20BD6">
        <w:t xml:space="preserve"> application constitutes acceptance of all </w:t>
      </w:r>
      <w:r w:rsidR="006030C2" w:rsidRPr="00A20BD6">
        <w:t xml:space="preserve">TCRC policies and procedures as well as 21st CCLC program guidelines. Subcontractors agree </w:t>
      </w:r>
      <w:r w:rsidRPr="00A20BD6">
        <w:t>to abide by the results of the selection process.</w:t>
      </w:r>
      <w:r w:rsidR="003756EB" w:rsidRPr="00A20BD6">
        <w:t xml:space="preserve"> Contractor selection is based on the community need and available funding.</w:t>
      </w:r>
    </w:p>
    <w:p w:rsidR="00152825" w:rsidRPr="00A20BD6" w:rsidRDefault="00152825" w:rsidP="00A20BD6">
      <w:pPr>
        <w:jc w:val="both"/>
      </w:pPr>
    </w:p>
    <w:p w:rsidR="00152825" w:rsidRPr="00A20BD6" w:rsidRDefault="00152825" w:rsidP="00A20BD6">
      <w:pPr>
        <w:pStyle w:val="Default"/>
        <w:jc w:val="both"/>
        <w:rPr>
          <w:rFonts w:ascii="Times New Roman" w:hAnsi="Times New Roman" w:cs="Times New Roman"/>
        </w:rPr>
      </w:pPr>
      <w:r w:rsidRPr="00A20BD6">
        <w:rPr>
          <w:rFonts w:ascii="Times New Roman" w:hAnsi="Times New Roman" w:cs="Times New Roman"/>
          <w:b/>
          <w:bCs/>
        </w:rPr>
        <w:t xml:space="preserve">ELIGIBLE </w:t>
      </w:r>
      <w:r w:rsidR="003756EB" w:rsidRPr="00A20BD6">
        <w:rPr>
          <w:rFonts w:ascii="Times New Roman" w:hAnsi="Times New Roman" w:cs="Times New Roman"/>
          <w:b/>
          <w:bCs/>
        </w:rPr>
        <w:t xml:space="preserve">SUB-CONTRACT </w:t>
      </w:r>
      <w:r w:rsidRPr="00A20BD6">
        <w:rPr>
          <w:rFonts w:ascii="Times New Roman" w:hAnsi="Times New Roman" w:cs="Times New Roman"/>
          <w:b/>
          <w:bCs/>
        </w:rPr>
        <w:t xml:space="preserve">APPLICANTS </w:t>
      </w:r>
    </w:p>
    <w:p w:rsidR="00152825" w:rsidRPr="00A20BD6" w:rsidRDefault="00152825" w:rsidP="00A20BD6">
      <w:pPr>
        <w:jc w:val="both"/>
      </w:pPr>
      <w:r w:rsidRPr="00A20BD6">
        <w:t xml:space="preserve">Eligible applicants may include individuals, faith based organizations, institutions of higher education, city or county government agencies, for-profit corporations and other public or private entities. </w:t>
      </w:r>
      <w:r w:rsidR="006679D8" w:rsidRPr="00A20BD6">
        <w:t>Successful applicants must demonstrate</w:t>
      </w:r>
      <w:r w:rsidRPr="00A20BD6">
        <w:t xml:space="preserve"> experience in providing educational and related activities that will complement and enhance the academic performance, achievement and positive youth development of students.</w:t>
      </w:r>
    </w:p>
    <w:p w:rsidR="006679D8" w:rsidRPr="00A20BD6" w:rsidRDefault="006679D8" w:rsidP="00A20BD6">
      <w:pPr>
        <w:jc w:val="both"/>
      </w:pPr>
    </w:p>
    <w:p w:rsidR="006679D8" w:rsidRPr="00A20BD6" w:rsidRDefault="006679D8" w:rsidP="00A20BD6">
      <w:pPr>
        <w:pStyle w:val="Default"/>
        <w:jc w:val="both"/>
        <w:rPr>
          <w:rFonts w:ascii="Times New Roman" w:hAnsi="Times New Roman" w:cs="Times New Roman"/>
        </w:rPr>
      </w:pPr>
      <w:r w:rsidRPr="00A20BD6">
        <w:rPr>
          <w:rFonts w:ascii="Times New Roman" w:hAnsi="Times New Roman" w:cs="Times New Roman"/>
          <w:b/>
          <w:bCs/>
        </w:rPr>
        <w:t xml:space="preserve">GRANT ASSURANCES </w:t>
      </w:r>
    </w:p>
    <w:p w:rsidR="006679D8" w:rsidRPr="00A20BD6" w:rsidRDefault="006679D8" w:rsidP="00A20BD6">
      <w:pPr>
        <w:jc w:val="both"/>
      </w:pPr>
      <w:r w:rsidRPr="00A20BD6">
        <w:t xml:space="preserve">Completion and submission of a TCRC 21st CCLC </w:t>
      </w:r>
      <w:r w:rsidR="003756EB" w:rsidRPr="00A20BD6">
        <w:t>enrichment</w:t>
      </w:r>
      <w:r w:rsidR="00213A17" w:rsidRPr="00A20BD6">
        <w:t xml:space="preserve"> </w:t>
      </w:r>
      <w:r w:rsidRPr="00A20BD6">
        <w:t>contract application constitutes acceptance of all identified assurances, agreements, and guidelines of TCRC and the GA-DOE 21st CCLC program. Contractors agree to abide by the results of the selection process.</w:t>
      </w:r>
    </w:p>
    <w:p w:rsidR="006679D8" w:rsidRPr="00A20BD6" w:rsidRDefault="006679D8" w:rsidP="00A20BD6">
      <w:pPr>
        <w:jc w:val="both"/>
      </w:pPr>
    </w:p>
    <w:p w:rsidR="006679D8" w:rsidRPr="00A20BD6" w:rsidRDefault="006679D8" w:rsidP="00A20BD6">
      <w:pPr>
        <w:pStyle w:val="Default"/>
        <w:jc w:val="both"/>
        <w:rPr>
          <w:rFonts w:ascii="Times New Roman" w:hAnsi="Times New Roman" w:cs="Times New Roman"/>
        </w:rPr>
      </w:pPr>
      <w:r w:rsidRPr="00A20BD6">
        <w:rPr>
          <w:rFonts w:ascii="Times New Roman" w:hAnsi="Times New Roman" w:cs="Times New Roman"/>
          <w:b/>
          <w:bCs/>
        </w:rPr>
        <w:t xml:space="preserve">COMPETITIVE PRIORITY </w:t>
      </w:r>
    </w:p>
    <w:p w:rsidR="006679D8" w:rsidRPr="00A20BD6" w:rsidRDefault="006679D8" w:rsidP="00A20BD6">
      <w:pPr>
        <w:jc w:val="both"/>
      </w:pPr>
      <w:r w:rsidRPr="00A20BD6">
        <w:t xml:space="preserve">All applications will be assessed competitively according to the scoring rubric criteria. </w:t>
      </w:r>
      <w:r w:rsidR="00903CBC" w:rsidRPr="00A20BD6">
        <w:t>Priority will be afforded to those providers with experience working with Elementary school students.</w:t>
      </w:r>
    </w:p>
    <w:p w:rsidR="002D026E" w:rsidRDefault="002D026E" w:rsidP="006679D8">
      <w:pPr>
        <w:rPr>
          <w:sz w:val="22"/>
          <w:szCs w:val="22"/>
        </w:rPr>
      </w:pPr>
    </w:p>
    <w:p w:rsidR="00F26DFD" w:rsidRPr="00A20BD6" w:rsidRDefault="00F26DFD" w:rsidP="00F26DFD">
      <w:pPr>
        <w:pStyle w:val="Default"/>
        <w:jc w:val="both"/>
        <w:rPr>
          <w:rFonts w:ascii="Times New Roman" w:hAnsi="Times New Roman" w:cs="Times New Roman"/>
        </w:rPr>
      </w:pPr>
      <w:r>
        <w:rPr>
          <w:rFonts w:ascii="Times New Roman" w:hAnsi="Times New Roman" w:cs="Times New Roman"/>
          <w:b/>
          <w:bCs/>
        </w:rPr>
        <w:t>DUE DATE AND TECHNICAL ASSISSTANCE</w:t>
      </w:r>
      <w:r w:rsidRPr="00A20BD6">
        <w:rPr>
          <w:rFonts w:ascii="Times New Roman" w:hAnsi="Times New Roman" w:cs="Times New Roman"/>
          <w:b/>
          <w:bCs/>
        </w:rPr>
        <w:t xml:space="preserve"> </w:t>
      </w:r>
    </w:p>
    <w:p w:rsidR="00F26DFD" w:rsidRPr="00820136" w:rsidRDefault="00F26DFD" w:rsidP="00213A17">
      <w:r w:rsidRPr="00121228">
        <w:rPr>
          <w:b/>
          <w:sz w:val="22"/>
          <w:szCs w:val="22"/>
        </w:rPr>
        <w:t>All proposals must be emai</w:t>
      </w:r>
      <w:r w:rsidR="00BD2BA2">
        <w:rPr>
          <w:b/>
          <w:sz w:val="22"/>
          <w:szCs w:val="22"/>
        </w:rPr>
        <w:t>led</w:t>
      </w:r>
      <w:r w:rsidRPr="00820136">
        <w:t xml:space="preserve"> to </w:t>
      </w:r>
      <w:hyperlink r:id="rId11" w:history="1">
        <w:r w:rsidRPr="00820136">
          <w:rPr>
            <w:rStyle w:val="Hyperlink"/>
          </w:rPr>
          <w:t>tcrc.receptionist@tcrc.community</w:t>
        </w:r>
      </w:hyperlink>
    </w:p>
    <w:p w:rsidR="000735A8" w:rsidRPr="00C63259" w:rsidRDefault="00F26DFD" w:rsidP="00213A17">
      <w:pPr>
        <w:rPr>
          <w:sz w:val="26"/>
          <w:szCs w:val="26"/>
        </w:rPr>
      </w:pPr>
      <w:r w:rsidRPr="00820136">
        <w:t xml:space="preserve">All questions must be submitted to </w:t>
      </w:r>
      <w:hyperlink r:id="rId12" w:history="1">
        <w:r w:rsidRPr="00820136">
          <w:rPr>
            <w:rStyle w:val="Hyperlink"/>
          </w:rPr>
          <w:t>tcrc.receptionist@tcrc.community</w:t>
        </w:r>
      </w:hyperlink>
      <w:r w:rsidRPr="00820136">
        <w:t xml:space="preserve">. </w:t>
      </w:r>
      <w:r w:rsidR="002D026E">
        <w:rPr>
          <w:sz w:val="22"/>
          <w:szCs w:val="22"/>
        </w:rPr>
        <w:br w:type="page"/>
      </w:r>
      <w:r w:rsidR="00271C29" w:rsidRPr="00C63259">
        <w:rPr>
          <w:b/>
          <w:bCs/>
          <w:sz w:val="26"/>
          <w:szCs w:val="26"/>
        </w:rPr>
        <w:lastRenderedPageBreak/>
        <w:t xml:space="preserve">PROPOSAL QUESTIONS </w:t>
      </w:r>
    </w:p>
    <w:p w:rsidR="007E5D74" w:rsidRDefault="007E5D74" w:rsidP="007E5D74">
      <w:pPr>
        <w:pStyle w:val="ListParagraph"/>
        <w:numPr>
          <w:ilvl w:val="0"/>
          <w:numId w:val="5"/>
        </w:numPr>
      </w:pPr>
      <w:r w:rsidRPr="007E5D74">
        <w:t>Organization / Individual address, city/state, zip code, county, phone number and email.</w:t>
      </w:r>
      <w:r>
        <w:t xml:space="preserve"> (5 points)</w:t>
      </w:r>
    </w:p>
    <w:p w:rsidR="007E5D74" w:rsidRPr="007E5D74" w:rsidRDefault="007E5D74" w:rsidP="007E5D74">
      <w:pPr>
        <w:pStyle w:val="ListParagraph"/>
      </w:pPr>
    </w:p>
    <w:p w:rsidR="007E5D74" w:rsidRPr="007E5D74" w:rsidRDefault="007E5D74" w:rsidP="007E5D74">
      <w:pPr>
        <w:pStyle w:val="ListParagraph"/>
        <w:numPr>
          <w:ilvl w:val="0"/>
          <w:numId w:val="5"/>
        </w:numPr>
      </w:pPr>
      <w:r w:rsidRPr="007E5D74">
        <w:t xml:space="preserve">Provide a summary of your experience working with youth in athletic, </w:t>
      </w:r>
      <w:r w:rsidR="004741FF">
        <w:t xml:space="preserve">dramatic, </w:t>
      </w:r>
      <w:r>
        <w:t xml:space="preserve">character development, </w:t>
      </w:r>
      <w:r w:rsidRPr="007E5D74">
        <w:t>health or STEAM related enrichment programs.  Be specific when outlining activities and tasks working directly with youth</w:t>
      </w:r>
      <w:r w:rsidR="00EA38A2">
        <w:t xml:space="preserve"> and explain how these activities benefit youth development</w:t>
      </w:r>
      <w:r w:rsidR="002F4F22">
        <w:t xml:space="preserve"> (Two pages or less)</w:t>
      </w:r>
      <w:r w:rsidRPr="007E5D74">
        <w:t xml:space="preserve">. </w:t>
      </w:r>
      <w:r w:rsidR="00A20BD6">
        <w:t>(3</w:t>
      </w:r>
      <w:r w:rsidRPr="007E5D74">
        <w:t>5 points)</w:t>
      </w:r>
    </w:p>
    <w:p w:rsidR="007E5D74" w:rsidRPr="007E5D74" w:rsidRDefault="007E5D74" w:rsidP="007E5D74">
      <w:pPr>
        <w:pStyle w:val="ListParagraph"/>
        <w:numPr>
          <w:ilvl w:val="1"/>
          <w:numId w:val="5"/>
        </w:numPr>
      </w:pPr>
      <w:r w:rsidRPr="007E5D74">
        <w:t>Youth is def</w:t>
      </w:r>
      <w:r w:rsidR="002F4F22">
        <w:t>ined as students from age 4 – 15</w:t>
      </w:r>
    </w:p>
    <w:p w:rsidR="007E5D74" w:rsidRPr="007E5D74" w:rsidRDefault="007E5D74" w:rsidP="007E5D74">
      <w:pPr>
        <w:pStyle w:val="ListParagraph"/>
        <w:numPr>
          <w:ilvl w:val="1"/>
          <w:numId w:val="5"/>
        </w:numPr>
      </w:pPr>
      <w:r w:rsidRPr="007E5D74">
        <w:t>Athletic</w:t>
      </w:r>
      <w:r w:rsidR="002F4F22">
        <w:t>/Sports Enrichment</w:t>
      </w:r>
      <w:r w:rsidRPr="007E5D74">
        <w:t>: Including but not limited to Football, Basketball, Tennis, Golf, Track and Field.</w:t>
      </w:r>
      <w:r w:rsidR="002F4F22">
        <w:t xml:space="preserve"> Multiple day event with giveaways and character development for students</w:t>
      </w:r>
    </w:p>
    <w:p w:rsidR="007E5D74" w:rsidRPr="007E5D74" w:rsidRDefault="007E5D74" w:rsidP="007E5D74">
      <w:pPr>
        <w:pStyle w:val="ListParagraph"/>
        <w:numPr>
          <w:ilvl w:val="1"/>
          <w:numId w:val="5"/>
        </w:numPr>
      </w:pPr>
      <w:r w:rsidRPr="007E5D74">
        <w:t xml:space="preserve">Health: Including but not limited to Physical Fitness Activities, Food and Nutrition </w:t>
      </w:r>
    </w:p>
    <w:p w:rsidR="007E5D74" w:rsidRPr="007E5D74" w:rsidRDefault="007E5D74" w:rsidP="007E5D74">
      <w:pPr>
        <w:pStyle w:val="ListParagraph"/>
        <w:numPr>
          <w:ilvl w:val="1"/>
          <w:numId w:val="5"/>
        </w:numPr>
      </w:pPr>
      <w:r w:rsidRPr="007E5D74">
        <w:t xml:space="preserve">STEAM: Science Technology, Engineering, Arts (Visual and Performing), and Math </w:t>
      </w:r>
    </w:p>
    <w:p w:rsidR="007E5D74" w:rsidRDefault="007E5D74" w:rsidP="007E5D74">
      <w:pPr>
        <w:pStyle w:val="ListParagraph"/>
      </w:pPr>
    </w:p>
    <w:p w:rsidR="007E5D74" w:rsidRPr="007E5D74" w:rsidRDefault="007E5D74" w:rsidP="007E5D74">
      <w:pPr>
        <w:pStyle w:val="ListParagraph"/>
        <w:numPr>
          <w:ilvl w:val="0"/>
          <w:numId w:val="5"/>
        </w:numPr>
      </w:pPr>
      <w:r w:rsidRPr="007E5D74">
        <w:t>Provide a brief summary of credentials, certifications or training you have received in the specific enrichment areas you are subm</w:t>
      </w:r>
      <w:r w:rsidR="002F4F22">
        <w:t>itting in your proposal (One page or less)</w:t>
      </w:r>
      <w:r w:rsidRPr="007E5D74">
        <w:t>. (15 points)</w:t>
      </w:r>
    </w:p>
    <w:p w:rsidR="007E5D74" w:rsidRPr="007E5D74" w:rsidRDefault="007E5D74" w:rsidP="007E5D74">
      <w:pPr>
        <w:pStyle w:val="ListParagraph"/>
      </w:pPr>
    </w:p>
    <w:p w:rsidR="007E5D74" w:rsidRDefault="007E5D74" w:rsidP="007E5D74">
      <w:pPr>
        <w:pStyle w:val="ListParagraph"/>
        <w:numPr>
          <w:ilvl w:val="0"/>
          <w:numId w:val="5"/>
        </w:numPr>
      </w:pPr>
      <w:r w:rsidRPr="007E5D74">
        <w:t>Are you currently providing se</w:t>
      </w:r>
      <w:r w:rsidR="002F4F22">
        <w:t>rvices to Pre</w:t>
      </w:r>
      <w:r w:rsidR="00220E6C">
        <w:t xml:space="preserve"> </w:t>
      </w:r>
      <w:r w:rsidR="002F4F22">
        <w:t>K – 8</w:t>
      </w:r>
      <w:r w:rsidR="002F4F22" w:rsidRPr="002F4F22">
        <w:rPr>
          <w:vertAlign w:val="superscript"/>
        </w:rPr>
        <w:t>th</w:t>
      </w:r>
      <w:r w:rsidR="002F4F22">
        <w:t xml:space="preserve"> Grade youth</w:t>
      </w:r>
      <w:r w:rsidRPr="007E5D74">
        <w:t>? (</w:t>
      </w:r>
      <w:r w:rsidR="002F4F22">
        <w:t>Yes 10</w:t>
      </w:r>
      <w:r w:rsidRPr="007E5D74">
        <w:t xml:space="preserve"> points)</w:t>
      </w:r>
      <w:r w:rsidR="004741FF">
        <w:t xml:space="preserve"> </w:t>
      </w:r>
    </w:p>
    <w:p w:rsidR="002F4F22" w:rsidRDefault="002F4F22" w:rsidP="002F4F22">
      <w:pPr>
        <w:pStyle w:val="ListParagraph"/>
      </w:pPr>
    </w:p>
    <w:p w:rsidR="002F4F22" w:rsidRDefault="00121228" w:rsidP="004741FF">
      <w:pPr>
        <w:pStyle w:val="ListParagraph"/>
        <w:numPr>
          <w:ilvl w:val="0"/>
          <w:numId w:val="5"/>
        </w:numPr>
      </w:pPr>
      <w:r>
        <w:t>Have you currently or within the last 3 years provided</w:t>
      </w:r>
      <w:r w:rsidR="002F4F22">
        <w:t xml:space="preserve"> services to Elementary School students (Yes 10 points)</w:t>
      </w:r>
    </w:p>
    <w:p w:rsidR="004741FF" w:rsidRDefault="004741FF" w:rsidP="004741FF">
      <w:pPr>
        <w:pStyle w:val="ListParagraph"/>
      </w:pPr>
    </w:p>
    <w:p w:rsidR="002F4F22" w:rsidRDefault="002F4F22" w:rsidP="004741FF">
      <w:pPr>
        <w:pStyle w:val="ListParagraph"/>
        <w:numPr>
          <w:ilvl w:val="0"/>
          <w:numId w:val="5"/>
        </w:numPr>
      </w:pPr>
      <w:r>
        <w:t>Have you currently or within the last 3 years provided services to at risk youth (Yes 10 po</w:t>
      </w:r>
      <w:r w:rsidR="00706012">
        <w:t>i</w:t>
      </w:r>
      <w:r>
        <w:t>nts)</w:t>
      </w:r>
    </w:p>
    <w:p w:rsidR="00FA4AE8" w:rsidRDefault="00FA4AE8" w:rsidP="00FA4AE8">
      <w:pPr>
        <w:pStyle w:val="ListParagraph"/>
      </w:pPr>
    </w:p>
    <w:p w:rsidR="00FA4AE8" w:rsidRDefault="00FA4AE8" w:rsidP="004741FF">
      <w:pPr>
        <w:pStyle w:val="ListParagraph"/>
        <w:numPr>
          <w:ilvl w:val="0"/>
          <w:numId w:val="5"/>
        </w:numPr>
      </w:pPr>
      <w:r>
        <w:t>Provide 2 references: Organization name, Point of contact Email and/or Phone number for organizations you have provided enrichment services in the past 3 years.</w:t>
      </w:r>
    </w:p>
    <w:p w:rsidR="00FA4AE8" w:rsidRDefault="00FA4AE8" w:rsidP="00FA4AE8">
      <w:pPr>
        <w:pStyle w:val="ListParagraph"/>
      </w:pPr>
    </w:p>
    <w:p w:rsidR="00EA38A2" w:rsidRDefault="00EA38A2" w:rsidP="00EA38A2">
      <w:pPr>
        <w:pStyle w:val="ListParagraph"/>
        <w:ind w:left="1440"/>
      </w:pPr>
    </w:p>
    <w:p w:rsidR="007E5D74" w:rsidRPr="007E5D74" w:rsidRDefault="007E5D74" w:rsidP="007E5D74"/>
    <w:p w:rsidR="007E5D74" w:rsidRDefault="007E5D74" w:rsidP="007E5D74">
      <w:pPr>
        <w:rPr>
          <w:rFonts w:ascii="Arial" w:hAnsi="Arial" w:cs="Arial"/>
          <w:b/>
          <w:sz w:val="28"/>
          <w:szCs w:val="28"/>
        </w:rPr>
      </w:pPr>
    </w:p>
    <w:p w:rsidR="007E5D74" w:rsidRDefault="007E5D74" w:rsidP="007E5D74">
      <w:pPr>
        <w:rPr>
          <w:rFonts w:ascii="Arial" w:hAnsi="Arial" w:cs="Arial"/>
          <w:b/>
          <w:sz w:val="28"/>
          <w:szCs w:val="28"/>
        </w:rPr>
      </w:pPr>
    </w:p>
    <w:p w:rsidR="007E5D74" w:rsidRPr="00C85D61" w:rsidRDefault="007E5D74" w:rsidP="007E5D74">
      <w:pPr>
        <w:rPr>
          <w:rFonts w:ascii="Arial" w:hAnsi="Arial" w:cs="Arial"/>
          <w:sz w:val="28"/>
          <w:szCs w:val="28"/>
        </w:rPr>
      </w:pPr>
      <w:r w:rsidRPr="00C85D61">
        <w:rPr>
          <w:rFonts w:ascii="Arial" w:hAnsi="Arial" w:cs="Arial"/>
          <w:sz w:val="28"/>
          <w:szCs w:val="28"/>
        </w:rPr>
        <w:t>Requested Amount</w:t>
      </w:r>
      <w:r w:rsidR="00110887">
        <w:rPr>
          <w:rFonts w:ascii="Arial" w:hAnsi="Arial" w:cs="Arial"/>
          <w:sz w:val="28"/>
          <w:szCs w:val="28"/>
        </w:rPr>
        <w:t xml:space="preserve"> (include the hourly rate for your services)</w:t>
      </w:r>
      <w:r w:rsidRPr="00C85D61">
        <w:rPr>
          <w:rFonts w:ascii="Arial" w:hAnsi="Arial" w:cs="Arial"/>
          <w:sz w:val="28"/>
          <w:szCs w:val="28"/>
        </w:rPr>
        <w:t xml:space="preserve"> to be paid for services $</w:t>
      </w:r>
      <w:r>
        <w:rPr>
          <w:rFonts w:ascii="Arial" w:hAnsi="Arial" w:cs="Arial"/>
          <w:sz w:val="28"/>
          <w:szCs w:val="28"/>
        </w:rPr>
        <w:t>___________</w:t>
      </w:r>
    </w:p>
    <w:p w:rsidR="007E5D74" w:rsidRDefault="007E5D74" w:rsidP="00731672">
      <w:pPr>
        <w:rPr>
          <w:sz w:val="22"/>
          <w:szCs w:val="22"/>
        </w:rPr>
      </w:pPr>
    </w:p>
    <w:p w:rsidR="007E5D74" w:rsidRDefault="007E5D74">
      <w:pPr>
        <w:rPr>
          <w:rFonts w:ascii="Arial" w:hAnsi="Arial" w:cs="Arial"/>
          <w:sz w:val="28"/>
          <w:szCs w:val="28"/>
        </w:rPr>
      </w:pPr>
      <w:r>
        <w:rPr>
          <w:rFonts w:ascii="Arial" w:hAnsi="Arial" w:cs="Arial"/>
          <w:sz w:val="28"/>
          <w:szCs w:val="28"/>
        </w:rPr>
        <w:br w:type="page"/>
      </w:r>
    </w:p>
    <w:p w:rsidR="007E5D74" w:rsidRDefault="007E5D74" w:rsidP="007E5D74">
      <w:pPr>
        <w:rPr>
          <w:rFonts w:ascii="Arial" w:hAnsi="Arial" w:cs="Arial"/>
          <w:sz w:val="28"/>
          <w:szCs w:val="28"/>
        </w:rPr>
      </w:pPr>
    </w:p>
    <w:p w:rsidR="007E5D74" w:rsidRDefault="007E5D74" w:rsidP="007E5D74">
      <w:pPr>
        <w:rPr>
          <w:rFonts w:ascii="Arial" w:hAnsi="Arial" w:cs="Arial"/>
          <w:sz w:val="28"/>
          <w:szCs w:val="28"/>
        </w:rPr>
      </w:pPr>
      <w:r>
        <w:rPr>
          <w:rFonts w:ascii="Arial" w:hAnsi="Arial" w:cs="Arial"/>
          <w:sz w:val="28"/>
          <w:szCs w:val="28"/>
        </w:rPr>
        <w:t>Please review the information on the 21</w:t>
      </w:r>
      <w:r w:rsidRPr="00DC7434">
        <w:rPr>
          <w:rFonts w:ascii="Arial" w:hAnsi="Arial" w:cs="Arial"/>
          <w:sz w:val="28"/>
          <w:szCs w:val="28"/>
          <w:vertAlign w:val="superscript"/>
        </w:rPr>
        <w:t>st</w:t>
      </w:r>
      <w:r>
        <w:rPr>
          <w:rFonts w:ascii="Arial" w:hAnsi="Arial" w:cs="Arial"/>
          <w:sz w:val="28"/>
          <w:szCs w:val="28"/>
        </w:rPr>
        <w:t xml:space="preserve"> Century Community Learning Center Program and the current sites operated by Thomasville Community Resource Center included with this solicitation.</w:t>
      </w:r>
    </w:p>
    <w:p w:rsidR="007E5D74" w:rsidRDefault="007E5D74" w:rsidP="007E5D74">
      <w:pPr>
        <w:rPr>
          <w:rFonts w:ascii="Arial" w:hAnsi="Arial" w:cs="Arial"/>
          <w:sz w:val="28"/>
          <w:szCs w:val="28"/>
        </w:rPr>
      </w:pPr>
    </w:p>
    <w:p w:rsidR="007E5D74" w:rsidRDefault="007E5D74" w:rsidP="007E5D74">
      <w:pPr>
        <w:rPr>
          <w:rFonts w:ascii="Arial" w:hAnsi="Arial" w:cs="Arial"/>
          <w:sz w:val="28"/>
          <w:szCs w:val="28"/>
        </w:rPr>
      </w:pPr>
    </w:p>
    <w:p w:rsidR="007E5D74" w:rsidRPr="00C85D61" w:rsidRDefault="007E5D74" w:rsidP="007E5D74">
      <w:pPr>
        <w:rPr>
          <w:rFonts w:ascii="Arial" w:hAnsi="Arial" w:cs="Arial"/>
          <w:sz w:val="28"/>
          <w:szCs w:val="28"/>
        </w:rPr>
      </w:pPr>
      <w:r>
        <w:rPr>
          <w:rFonts w:ascii="Arial" w:hAnsi="Arial" w:cs="Arial"/>
          <w:sz w:val="28"/>
          <w:szCs w:val="28"/>
        </w:rPr>
        <w:t xml:space="preserve">Contractor </w:t>
      </w:r>
      <w:r w:rsidR="00BD2BA2">
        <w:rPr>
          <w:rFonts w:ascii="Arial" w:hAnsi="Arial" w:cs="Arial"/>
          <w:sz w:val="28"/>
          <w:szCs w:val="28"/>
        </w:rPr>
        <w:t xml:space="preserve">work and </w:t>
      </w:r>
      <w:r>
        <w:rPr>
          <w:rFonts w:ascii="Arial" w:hAnsi="Arial" w:cs="Arial"/>
          <w:sz w:val="28"/>
          <w:szCs w:val="28"/>
        </w:rPr>
        <w:t>p</w:t>
      </w:r>
      <w:r w:rsidRPr="00C85D61">
        <w:rPr>
          <w:rFonts w:ascii="Arial" w:hAnsi="Arial" w:cs="Arial"/>
          <w:sz w:val="28"/>
          <w:szCs w:val="28"/>
        </w:rPr>
        <w:t xml:space="preserve">ayout schedule will be included in contract after </w:t>
      </w:r>
      <w:r>
        <w:rPr>
          <w:rFonts w:ascii="Arial" w:hAnsi="Arial" w:cs="Arial"/>
          <w:sz w:val="28"/>
          <w:szCs w:val="28"/>
        </w:rPr>
        <w:t xml:space="preserve">proposal review and </w:t>
      </w:r>
      <w:r w:rsidRPr="00C85D61">
        <w:rPr>
          <w:rFonts w:ascii="Arial" w:hAnsi="Arial" w:cs="Arial"/>
          <w:sz w:val="28"/>
          <w:szCs w:val="28"/>
        </w:rPr>
        <w:t>selection.</w:t>
      </w:r>
      <w:r w:rsidR="00BD2BA2">
        <w:rPr>
          <w:rFonts w:ascii="Arial" w:hAnsi="Arial" w:cs="Arial"/>
          <w:sz w:val="28"/>
          <w:szCs w:val="28"/>
        </w:rPr>
        <w:t xml:space="preserve"> 21</w:t>
      </w:r>
      <w:r w:rsidR="00BD2BA2" w:rsidRPr="00BD2BA2">
        <w:rPr>
          <w:rFonts w:ascii="Arial" w:hAnsi="Arial" w:cs="Arial"/>
          <w:sz w:val="28"/>
          <w:szCs w:val="28"/>
          <w:vertAlign w:val="superscript"/>
        </w:rPr>
        <w:t>st</w:t>
      </w:r>
      <w:r w:rsidR="00BD2BA2">
        <w:rPr>
          <w:rFonts w:ascii="Arial" w:hAnsi="Arial" w:cs="Arial"/>
          <w:sz w:val="28"/>
          <w:szCs w:val="28"/>
        </w:rPr>
        <w:t xml:space="preserve"> CCLC sites typically operate M-F afterschool during the school term (excluding breaks and holidays). Summer program sessions typically operate M-TH with times to be determined based on availability of funds.</w:t>
      </w:r>
    </w:p>
    <w:p w:rsidR="007E5D74" w:rsidRDefault="007E5D74" w:rsidP="007E5D74">
      <w:pPr>
        <w:rPr>
          <w:rFonts w:ascii="Arial" w:hAnsi="Arial" w:cs="Arial"/>
          <w:sz w:val="28"/>
          <w:szCs w:val="28"/>
        </w:rPr>
      </w:pPr>
    </w:p>
    <w:p w:rsidR="007E5D74" w:rsidRDefault="007E5D74" w:rsidP="007E5D74">
      <w:pPr>
        <w:rPr>
          <w:rFonts w:ascii="Arial" w:hAnsi="Arial" w:cs="Arial"/>
          <w:sz w:val="28"/>
          <w:szCs w:val="28"/>
        </w:rPr>
      </w:pPr>
      <w:r>
        <w:rPr>
          <w:rFonts w:ascii="Arial" w:hAnsi="Arial" w:cs="Arial"/>
          <w:sz w:val="28"/>
          <w:szCs w:val="28"/>
        </w:rPr>
        <w:t>A Certificate of Insurance is required for all Athletic</w:t>
      </w:r>
      <w:r w:rsidR="002F4F22">
        <w:rPr>
          <w:rFonts w:ascii="Arial" w:hAnsi="Arial" w:cs="Arial"/>
          <w:sz w:val="28"/>
          <w:szCs w:val="28"/>
        </w:rPr>
        <w:t>, Dance,</w:t>
      </w:r>
      <w:r>
        <w:rPr>
          <w:rFonts w:ascii="Arial" w:hAnsi="Arial" w:cs="Arial"/>
          <w:sz w:val="28"/>
          <w:szCs w:val="28"/>
        </w:rPr>
        <w:t xml:space="preserve"> and Physical Fitness Enrichment Activities.</w:t>
      </w:r>
    </w:p>
    <w:p w:rsidR="007E5D74" w:rsidRDefault="007E5D74" w:rsidP="007E5D74">
      <w:pPr>
        <w:rPr>
          <w:rFonts w:ascii="Arial" w:hAnsi="Arial" w:cs="Arial"/>
          <w:sz w:val="28"/>
          <w:szCs w:val="28"/>
        </w:rPr>
      </w:pPr>
    </w:p>
    <w:p w:rsidR="007E5D74" w:rsidRDefault="007E5D74" w:rsidP="007E5D74">
      <w:pPr>
        <w:rPr>
          <w:rFonts w:ascii="Arial" w:hAnsi="Arial" w:cs="Arial"/>
          <w:sz w:val="28"/>
          <w:szCs w:val="28"/>
        </w:rPr>
      </w:pPr>
      <w:r>
        <w:rPr>
          <w:rFonts w:ascii="Arial" w:hAnsi="Arial" w:cs="Arial"/>
          <w:sz w:val="28"/>
          <w:szCs w:val="28"/>
        </w:rPr>
        <w:t>All contractor staff working with students must pass a Comprehensive Background Screen</w:t>
      </w:r>
      <w:r w:rsidR="00FA4AE8">
        <w:rPr>
          <w:rFonts w:ascii="Arial" w:hAnsi="Arial" w:cs="Arial"/>
          <w:sz w:val="28"/>
          <w:szCs w:val="28"/>
        </w:rPr>
        <w:t xml:space="preserve"> and Drug Test</w:t>
      </w:r>
      <w:r>
        <w:rPr>
          <w:rFonts w:ascii="Arial" w:hAnsi="Arial" w:cs="Arial"/>
          <w:sz w:val="28"/>
          <w:szCs w:val="28"/>
        </w:rPr>
        <w:t xml:space="preserve">. </w:t>
      </w:r>
      <w:r w:rsidR="002F4F22">
        <w:rPr>
          <w:rFonts w:ascii="Arial" w:hAnsi="Arial" w:cs="Arial"/>
          <w:sz w:val="28"/>
          <w:szCs w:val="28"/>
        </w:rPr>
        <w:t>TCRC will pay for the Background check</w:t>
      </w:r>
      <w:r w:rsidR="00BD2BA2">
        <w:rPr>
          <w:rFonts w:ascii="Arial" w:hAnsi="Arial" w:cs="Arial"/>
          <w:sz w:val="28"/>
          <w:szCs w:val="28"/>
        </w:rPr>
        <w:t xml:space="preserve"> and drug test.</w:t>
      </w:r>
    </w:p>
    <w:p w:rsidR="00E9147B" w:rsidRDefault="00E9147B" w:rsidP="007E5D74">
      <w:pPr>
        <w:rPr>
          <w:rFonts w:ascii="Arial" w:hAnsi="Arial" w:cs="Arial"/>
          <w:sz w:val="28"/>
          <w:szCs w:val="28"/>
        </w:rPr>
      </w:pPr>
    </w:p>
    <w:p w:rsidR="00A20BD6" w:rsidRDefault="00A20BD6" w:rsidP="007E5D74">
      <w:pPr>
        <w:rPr>
          <w:rFonts w:ascii="Arial" w:hAnsi="Arial" w:cs="Arial"/>
          <w:sz w:val="28"/>
          <w:szCs w:val="28"/>
        </w:rPr>
      </w:pPr>
    </w:p>
    <w:p w:rsidR="00E9147B" w:rsidRDefault="00E9147B" w:rsidP="007E5D74">
      <w:pPr>
        <w:rPr>
          <w:rFonts w:ascii="Arial" w:hAnsi="Arial" w:cs="Arial"/>
          <w:b/>
          <w:sz w:val="28"/>
          <w:szCs w:val="28"/>
        </w:rPr>
      </w:pPr>
      <w:r>
        <w:rPr>
          <w:rFonts w:ascii="Arial" w:hAnsi="Arial" w:cs="Arial"/>
          <w:sz w:val="28"/>
          <w:szCs w:val="28"/>
        </w:rPr>
        <w:t xml:space="preserve">All documents will be posted at </w:t>
      </w:r>
      <w:hyperlink r:id="rId13" w:history="1">
        <w:r w:rsidRPr="00AB7A97">
          <w:rPr>
            <w:rStyle w:val="Hyperlink"/>
            <w:rFonts w:ascii="Arial" w:hAnsi="Arial" w:cs="Arial"/>
            <w:sz w:val="28"/>
            <w:szCs w:val="28"/>
          </w:rPr>
          <w:t>http://www.tcrconline.org/employment.aspx</w:t>
        </w:r>
      </w:hyperlink>
      <w:r>
        <w:rPr>
          <w:rFonts w:ascii="Arial" w:hAnsi="Arial" w:cs="Arial"/>
          <w:sz w:val="28"/>
          <w:szCs w:val="28"/>
        </w:rPr>
        <w:t xml:space="preserve"> . Technical </w:t>
      </w:r>
      <w:r w:rsidR="003857FC">
        <w:rPr>
          <w:rFonts w:ascii="Arial" w:hAnsi="Arial" w:cs="Arial"/>
          <w:sz w:val="28"/>
          <w:szCs w:val="28"/>
        </w:rPr>
        <w:t>A</w:t>
      </w:r>
      <w:r>
        <w:rPr>
          <w:rFonts w:ascii="Arial" w:hAnsi="Arial" w:cs="Arial"/>
          <w:sz w:val="28"/>
          <w:szCs w:val="28"/>
        </w:rPr>
        <w:t>ssistance responses will also be posted on the site</w:t>
      </w:r>
    </w:p>
    <w:p w:rsidR="00CC0037" w:rsidRDefault="00CC0037" w:rsidP="00A20BD6">
      <w:pPr>
        <w:rPr>
          <w:sz w:val="22"/>
          <w:szCs w:val="22"/>
        </w:rPr>
      </w:pPr>
    </w:p>
    <w:sectPr w:rsidR="00CC0037" w:rsidSect="00F26DFD">
      <w:footerReference w:type="default" r:id="rId14"/>
      <w:pgSz w:w="12240" w:h="15840"/>
      <w:pgMar w:top="1440" w:right="1008" w:bottom="144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95D" w:rsidRDefault="00B5295D" w:rsidP="00D244A1">
      <w:r>
        <w:separator/>
      </w:r>
    </w:p>
  </w:endnote>
  <w:endnote w:type="continuationSeparator" w:id="0">
    <w:p w:rsidR="00B5295D" w:rsidRDefault="00B5295D" w:rsidP="00D24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4518371"/>
      <w:docPartObj>
        <w:docPartGallery w:val="Page Numbers (Bottom of Page)"/>
        <w:docPartUnique/>
      </w:docPartObj>
    </w:sdtPr>
    <w:sdtEndPr/>
    <w:sdtContent>
      <w:p w:rsidR="00F26DFD" w:rsidRDefault="00297C7D">
        <w:pPr>
          <w:pStyle w:val="Footer"/>
          <w:jc w:val="right"/>
        </w:pPr>
        <w:r>
          <w:fldChar w:fldCharType="begin"/>
        </w:r>
        <w:r>
          <w:instrText xml:space="preserve"> PAGE   \* MERGEFORMAT </w:instrText>
        </w:r>
        <w:r>
          <w:fldChar w:fldCharType="separate"/>
        </w:r>
        <w:r w:rsidR="00BB4DC0">
          <w:rPr>
            <w:noProof/>
          </w:rPr>
          <w:t>4</w:t>
        </w:r>
        <w:r>
          <w:rPr>
            <w:noProof/>
          </w:rPr>
          <w:fldChar w:fldCharType="end"/>
        </w:r>
      </w:p>
    </w:sdtContent>
  </w:sdt>
  <w:p w:rsidR="00F26DFD" w:rsidRDefault="00F26DF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95D" w:rsidRDefault="00B5295D" w:rsidP="00D244A1">
      <w:r>
        <w:separator/>
      </w:r>
    </w:p>
  </w:footnote>
  <w:footnote w:type="continuationSeparator" w:id="0">
    <w:p w:rsidR="00B5295D" w:rsidRDefault="00B5295D" w:rsidP="00D244A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90480"/>
    <w:multiLevelType w:val="hybridMultilevel"/>
    <w:tmpl w:val="9600EE98"/>
    <w:lvl w:ilvl="0" w:tplc="D062E0FA">
      <w:start w:val="10"/>
      <w:numFmt w:val="decimal"/>
      <w:lvlText w:val="%1."/>
      <w:lvlJc w:val="left"/>
      <w:pPr>
        <w:ind w:left="360" w:hanging="360"/>
      </w:pPr>
      <w:rPr>
        <w:rFonts w:hint="default"/>
        <w:b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A1E36B6"/>
    <w:multiLevelType w:val="hybridMultilevel"/>
    <w:tmpl w:val="30B279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1FE4EAA"/>
    <w:multiLevelType w:val="hybridMultilevel"/>
    <w:tmpl w:val="6764E2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9042F23"/>
    <w:multiLevelType w:val="hybridMultilevel"/>
    <w:tmpl w:val="21E80FB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8A7E58"/>
    <w:multiLevelType w:val="hybridMultilevel"/>
    <w:tmpl w:val="6764E2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73B672A"/>
    <w:multiLevelType w:val="hybridMultilevel"/>
    <w:tmpl w:val="BE8C8F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77E"/>
    <w:rsid w:val="00023827"/>
    <w:rsid w:val="00055F35"/>
    <w:rsid w:val="00065BD5"/>
    <w:rsid w:val="000735A8"/>
    <w:rsid w:val="000F7A17"/>
    <w:rsid w:val="00110887"/>
    <w:rsid w:val="00121228"/>
    <w:rsid w:val="00152825"/>
    <w:rsid w:val="001829EF"/>
    <w:rsid w:val="001A4D27"/>
    <w:rsid w:val="00205500"/>
    <w:rsid w:val="00213A17"/>
    <w:rsid w:val="00220E6C"/>
    <w:rsid w:val="00253647"/>
    <w:rsid w:val="00271C29"/>
    <w:rsid w:val="00296AA7"/>
    <w:rsid w:val="00297C7D"/>
    <w:rsid w:val="002D026E"/>
    <w:rsid w:val="002D5880"/>
    <w:rsid w:val="002E1E73"/>
    <w:rsid w:val="002F4F22"/>
    <w:rsid w:val="00324BCF"/>
    <w:rsid w:val="00345337"/>
    <w:rsid w:val="0036189C"/>
    <w:rsid w:val="003756EB"/>
    <w:rsid w:val="00376574"/>
    <w:rsid w:val="003857FC"/>
    <w:rsid w:val="0038720F"/>
    <w:rsid w:val="004154E5"/>
    <w:rsid w:val="004741FF"/>
    <w:rsid w:val="004925BD"/>
    <w:rsid w:val="004B35AE"/>
    <w:rsid w:val="004F58AB"/>
    <w:rsid w:val="005214B3"/>
    <w:rsid w:val="00524358"/>
    <w:rsid w:val="005933AE"/>
    <w:rsid w:val="005933BB"/>
    <w:rsid w:val="005973AF"/>
    <w:rsid w:val="005E7801"/>
    <w:rsid w:val="006030C2"/>
    <w:rsid w:val="00635E02"/>
    <w:rsid w:val="006459A5"/>
    <w:rsid w:val="00646AAE"/>
    <w:rsid w:val="00664E71"/>
    <w:rsid w:val="006679D8"/>
    <w:rsid w:val="006A3B75"/>
    <w:rsid w:val="006A6583"/>
    <w:rsid w:val="00702420"/>
    <w:rsid w:val="00706012"/>
    <w:rsid w:val="00731672"/>
    <w:rsid w:val="00791742"/>
    <w:rsid w:val="007A5479"/>
    <w:rsid w:val="007C2C1F"/>
    <w:rsid w:val="007C4647"/>
    <w:rsid w:val="007D7AB5"/>
    <w:rsid w:val="007E5D74"/>
    <w:rsid w:val="007F613A"/>
    <w:rsid w:val="00820136"/>
    <w:rsid w:val="00877158"/>
    <w:rsid w:val="00885776"/>
    <w:rsid w:val="008A239A"/>
    <w:rsid w:val="008C449A"/>
    <w:rsid w:val="008E56C5"/>
    <w:rsid w:val="008F3A55"/>
    <w:rsid w:val="00903CBC"/>
    <w:rsid w:val="00911B5F"/>
    <w:rsid w:val="0096411F"/>
    <w:rsid w:val="00992608"/>
    <w:rsid w:val="009C74D2"/>
    <w:rsid w:val="00A107AB"/>
    <w:rsid w:val="00A110E8"/>
    <w:rsid w:val="00A144EE"/>
    <w:rsid w:val="00A14CF3"/>
    <w:rsid w:val="00A20BD6"/>
    <w:rsid w:val="00A43B8E"/>
    <w:rsid w:val="00A603D8"/>
    <w:rsid w:val="00A604EA"/>
    <w:rsid w:val="00AB12CD"/>
    <w:rsid w:val="00AF14D3"/>
    <w:rsid w:val="00B22FBA"/>
    <w:rsid w:val="00B2712B"/>
    <w:rsid w:val="00B5295D"/>
    <w:rsid w:val="00BB4DC0"/>
    <w:rsid w:val="00BD2BA2"/>
    <w:rsid w:val="00BD64AB"/>
    <w:rsid w:val="00BE4F79"/>
    <w:rsid w:val="00C248CF"/>
    <w:rsid w:val="00C254A0"/>
    <w:rsid w:val="00C607A5"/>
    <w:rsid w:val="00C6222F"/>
    <w:rsid w:val="00C63259"/>
    <w:rsid w:val="00CC0037"/>
    <w:rsid w:val="00CC4D6D"/>
    <w:rsid w:val="00CC6765"/>
    <w:rsid w:val="00CF18C7"/>
    <w:rsid w:val="00CF2E1C"/>
    <w:rsid w:val="00D01B95"/>
    <w:rsid w:val="00D244A1"/>
    <w:rsid w:val="00D46BB1"/>
    <w:rsid w:val="00D53972"/>
    <w:rsid w:val="00D613F7"/>
    <w:rsid w:val="00D61BE7"/>
    <w:rsid w:val="00D67757"/>
    <w:rsid w:val="00D72659"/>
    <w:rsid w:val="00D819BC"/>
    <w:rsid w:val="00D96B58"/>
    <w:rsid w:val="00DB11FF"/>
    <w:rsid w:val="00DD4A82"/>
    <w:rsid w:val="00E411BA"/>
    <w:rsid w:val="00E8477E"/>
    <w:rsid w:val="00E9147B"/>
    <w:rsid w:val="00EA0067"/>
    <w:rsid w:val="00EA38A2"/>
    <w:rsid w:val="00EA4D04"/>
    <w:rsid w:val="00EF78ED"/>
    <w:rsid w:val="00F07B70"/>
    <w:rsid w:val="00F159AD"/>
    <w:rsid w:val="00F24161"/>
    <w:rsid w:val="00F26DFD"/>
    <w:rsid w:val="00F6182D"/>
    <w:rsid w:val="00FA4AE8"/>
    <w:rsid w:val="00FF0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1C62FB"/>
  <w15:docId w15:val="{7E814E53-F704-482D-9270-B4D2A10B8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9A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8477E"/>
    <w:pPr>
      <w:autoSpaceDE w:val="0"/>
      <w:autoSpaceDN w:val="0"/>
      <w:adjustRightInd w:val="0"/>
    </w:pPr>
    <w:rPr>
      <w:rFonts w:ascii="Arial" w:hAnsi="Arial" w:cs="Arial"/>
      <w:color w:val="000000"/>
      <w:sz w:val="24"/>
      <w:szCs w:val="24"/>
    </w:rPr>
  </w:style>
  <w:style w:type="table" w:styleId="TableGrid">
    <w:name w:val="Table Grid"/>
    <w:basedOn w:val="TableNormal"/>
    <w:rsid w:val="009C74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244A1"/>
    <w:pPr>
      <w:tabs>
        <w:tab w:val="center" w:pos="4680"/>
        <w:tab w:val="right" w:pos="9360"/>
      </w:tabs>
    </w:pPr>
  </w:style>
  <w:style w:type="character" w:customStyle="1" w:styleId="HeaderChar">
    <w:name w:val="Header Char"/>
    <w:basedOn w:val="DefaultParagraphFont"/>
    <w:link w:val="Header"/>
    <w:rsid w:val="00D244A1"/>
    <w:rPr>
      <w:sz w:val="24"/>
      <w:szCs w:val="24"/>
    </w:rPr>
  </w:style>
  <w:style w:type="paragraph" w:styleId="Footer">
    <w:name w:val="footer"/>
    <w:basedOn w:val="Normal"/>
    <w:link w:val="FooterChar"/>
    <w:uiPriority w:val="99"/>
    <w:rsid w:val="00D244A1"/>
    <w:pPr>
      <w:tabs>
        <w:tab w:val="center" w:pos="4680"/>
        <w:tab w:val="right" w:pos="9360"/>
      </w:tabs>
    </w:pPr>
  </w:style>
  <w:style w:type="character" w:customStyle="1" w:styleId="FooterChar">
    <w:name w:val="Footer Char"/>
    <w:basedOn w:val="DefaultParagraphFont"/>
    <w:link w:val="Footer"/>
    <w:uiPriority w:val="99"/>
    <w:rsid w:val="00D244A1"/>
    <w:rPr>
      <w:sz w:val="24"/>
      <w:szCs w:val="24"/>
    </w:rPr>
  </w:style>
  <w:style w:type="paragraph" w:styleId="BalloonText">
    <w:name w:val="Balloon Text"/>
    <w:basedOn w:val="Normal"/>
    <w:link w:val="BalloonTextChar"/>
    <w:rsid w:val="00D244A1"/>
    <w:rPr>
      <w:rFonts w:ascii="Tahoma" w:hAnsi="Tahoma" w:cs="Tahoma"/>
      <w:sz w:val="16"/>
      <w:szCs w:val="16"/>
    </w:rPr>
  </w:style>
  <w:style w:type="character" w:customStyle="1" w:styleId="BalloonTextChar">
    <w:name w:val="Balloon Text Char"/>
    <w:basedOn w:val="DefaultParagraphFont"/>
    <w:link w:val="BalloonText"/>
    <w:rsid w:val="00D244A1"/>
    <w:rPr>
      <w:rFonts w:ascii="Tahoma" w:hAnsi="Tahoma" w:cs="Tahoma"/>
      <w:sz w:val="16"/>
      <w:szCs w:val="16"/>
    </w:rPr>
  </w:style>
  <w:style w:type="character" w:styleId="Hyperlink">
    <w:name w:val="Hyperlink"/>
    <w:basedOn w:val="DefaultParagraphFont"/>
    <w:uiPriority w:val="99"/>
    <w:unhideWhenUsed/>
    <w:rsid w:val="007A5479"/>
    <w:rPr>
      <w:color w:val="0000FF"/>
      <w:u w:val="single"/>
    </w:rPr>
  </w:style>
  <w:style w:type="paragraph" w:styleId="Title">
    <w:name w:val="Title"/>
    <w:basedOn w:val="Normal"/>
    <w:link w:val="TitleChar"/>
    <w:qFormat/>
    <w:rsid w:val="007A5479"/>
    <w:pPr>
      <w:tabs>
        <w:tab w:val="left" w:pos="1870"/>
      </w:tabs>
      <w:jc w:val="center"/>
    </w:pPr>
    <w:rPr>
      <w:sz w:val="32"/>
    </w:rPr>
  </w:style>
  <w:style w:type="character" w:customStyle="1" w:styleId="TitleChar">
    <w:name w:val="Title Char"/>
    <w:basedOn w:val="DefaultParagraphFont"/>
    <w:link w:val="Title"/>
    <w:rsid w:val="007A5479"/>
    <w:rPr>
      <w:sz w:val="32"/>
      <w:szCs w:val="24"/>
    </w:rPr>
  </w:style>
  <w:style w:type="paragraph" w:styleId="ListParagraph">
    <w:name w:val="List Paragraph"/>
    <w:basedOn w:val="Normal"/>
    <w:uiPriority w:val="34"/>
    <w:qFormat/>
    <w:rsid w:val="007E5D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tcrconline.org/employment.aspx"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tcrc.receptionist@tcrc.communit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crc.receptionist@tcrc.community"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lisa.billups@tcrc.community"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831</Words>
  <Characters>4739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21st Century Community Learning Centers</vt:lpstr>
    </vt:vector>
  </TitlesOfParts>
  <Company>The Billups Inc.</Company>
  <LinksUpToDate>false</LinksUpToDate>
  <CharactersWithSpaces>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21st Century Community Learning Centers</dc:title>
  <dc:creator>warriorangel731@gmail.com</dc:creator>
  <cp:lastModifiedBy>Lisa Billups</cp:lastModifiedBy>
  <cp:revision>2</cp:revision>
  <cp:lastPrinted>2014-05-05T21:33:00Z</cp:lastPrinted>
  <dcterms:created xsi:type="dcterms:W3CDTF">2019-08-15T09:16:00Z</dcterms:created>
  <dcterms:modified xsi:type="dcterms:W3CDTF">2019-08-15T09:16:00Z</dcterms:modified>
</cp:coreProperties>
</file>